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256B1D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Opće</w:t>
            </w:r>
            <w:r w:rsidRPr="00256B1D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informacije</w:t>
            </w:r>
          </w:p>
        </w:tc>
        <w:bookmarkStart w:id="0" w:name="_GoBack"/>
        <w:bookmarkEnd w:id="0"/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256B1D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Ime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2CA7285C" w:rsidR="004B374A" w:rsidRPr="00256B1D" w:rsidRDefault="00B33046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Matija Gredičak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256B1D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Matična</w:t>
            </w:r>
            <w:r w:rsidRPr="00256B1D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5E4F95F2" w:rsidR="004B374A" w:rsidRPr="00256B1D" w:rsidRDefault="00B33046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Institut Ruđer Bošković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256B1D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1DE5A394" w:rsidR="004B374A" w:rsidRPr="00256B1D" w:rsidRDefault="00B33046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Organokatalitičke dearomatizacijske strategije inspirirane prirodnim spojevima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256B1D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Upravitelj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5C050D7C" w:rsidR="004B374A" w:rsidRPr="00256B1D" w:rsidRDefault="00B33046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Matija Gredičak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256B1D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256B1D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Prikupljanje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 i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256B1D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Koje ćete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podatke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prikupljati,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obrađivati,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stvarati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ili se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ponovno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256B1D">
              <w:rPr>
                <w:rFonts w:ascii="Open Sans" w:hAnsi="Open Sans" w:cs="Open Sans"/>
                <w:sz w:val="20"/>
              </w:rPr>
              <w:t>e</w:t>
            </w:r>
            <w:r w:rsidRPr="00256B1D">
              <w:rPr>
                <w:rFonts w:ascii="Open Sans" w:hAnsi="Open Sans" w:cs="Open Sans"/>
                <w:sz w:val="20"/>
              </w:rPr>
              <w:t>, vrst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e </w:t>
            </w:r>
            <w:r w:rsidRPr="00256B1D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opseg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256B1D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256B1D">
              <w:rPr>
                <w:rFonts w:ascii="Open Sans" w:hAnsi="Open Sans" w:cs="Open Sans"/>
                <w:sz w:val="20"/>
              </w:rPr>
              <w:t>podataka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256B1D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256B1D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5A18608" w14:textId="1762E0F2" w:rsidR="004B374A" w:rsidRPr="00256B1D" w:rsidRDefault="001244B1" w:rsidP="00567380">
            <w:pPr>
              <w:pStyle w:val="TableParagraph"/>
              <w:tabs>
                <w:tab w:val="left" w:pos="827"/>
              </w:tabs>
              <w:spacing w:line="264" w:lineRule="auto"/>
              <w:ind w:left="108" w:right="104"/>
              <w:rPr>
                <w:rFonts w:ascii="Open Sans" w:hAnsi="Open Sans" w:cs="Open Sans"/>
                <w:sz w:val="18"/>
                <w:szCs w:val="20"/>
              </w:rPr>
            </w:pPr>
            <w:r w:rsidRPr="00256B1D">
              <w:rPr>
                <w:rFonts w:ascii="Open Sans" w:hAnsi="Open Sans" w:cs="Open Sans"/>
                <w:sz w:val="18"/>
                <w:szCs w:val="20"/>
              </w:rPr>
              <w:t>Sirovi podaci bit će generirani na instrumentima za strukturnu karakterizaciju spojeva. Analitičke tehnike uključuju NMR, MS, HRMS, FT-IR, HPLC, polarimetar, rendgenski difraktometar, itd. Neobrađeni podaci zatim će se pretvoriti u čitljive podatke za svakog istraživača s kemijskim iskustvom korištenjem komercijalno dostupnog (i često besplatnog) softvera. Podaci će opis</w:t>
            </w:r>
            <w:r w:rsidR="00786F06" w:rsidRPr="00256B1D">
              <w:rPr>
                <w:rFonts w:ascii="Open Sans" w:hAnsi="Open Sans" w:cs="Open Sans"/>
                <w:sz w:val="18"/>
                <w:szCs w:val="20"/>
              </w:rPr>
              <w:t>iv</w:t>
            </w:r>
            <w:r w:rsidRPr="00256B1D">
              <w:rPr>
                <w:rFonts w:ascii="Open Sans" w:hAnsi="Open Sans" w:cs="Open Sans"/>
                <w:sz w:val="18"/>
                <w:szCs w:val="20"/>
              </w:rPr>
              <w:t>ati strukturnu karakterizaciju sintetiziranih spojeva (NMR pomaci, molekularna masa, infracrveni spektri, tališta, HPLC retencijska vremena, optička rotacija za kiralne</w:t>
            </w:r>
            <w:r w:rsidR="00256B1D" w:rsidRPr="00256B1D">
              <w:rPr>
                <w:rFonts w:ascii="Open Sans" w:hAnsi="Open Sans" w:cs="Open Sans"/>
                <w:sz w:val="18"/>
                <w:szCs w:val="20"/>
              </w:rPr>
              <w:t xml:space="preserve"> spojeve, podaci X-zraka, itd.), kao i protokole DFT izračuna.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256B1D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Kako će se podaci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prikupljati,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obrađivati ili stvarati? (ukratko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 w:rsidRPr="00256B1D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256B1D">
              <w:rPr>
                <w:rFonts w:ascii="Open Sans" w:hAnsi="Open Sans" w:cs="Open Sans"/>
                <w:sz w:val="20"/>
              </w:rPr>
              <w:t>kvalitete</w:t>
            </w:r>
            <w:r w:rsidR="00FD725D" w:rsidRPr="00256B1D">
              <w:rPr>
                <w:rFonts w:ascii="Open Sans" w:hAnsi="Open Sans" w:cs="Open Sans"/>
                <w:sz w:val="20"/>
              </w:rPr>
              <w:t>,</w:t>
            </w:r>
            <w:r w:rsidRPr="00256B1D">
              <w:rPr>
                <w:rFonts w:ascii="Open Sans" w:hAnsi="Open Sans" w:cs="Open Sans"/>
                <w:sz w:val="20"/>
              </w:rPr>
              <w:t xml:space="preserve"> načine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organiziranja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256B1D">
              <w:rPr>
                <w:rFonts w:ascii="Open Sans" w:hAnsi="Open Sans" w:cs="Open Sans"/>
                <w:sz w:val="20"/>
              </w:rPr>
              <w:t>te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256B1D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256B1D">
              <w:rPr>
                <w:rFonts w:ascii="Open Sans" w:hAnsi="Open Sans" w:cs="Open Sans"/>
                <w:sz w:val="20"/>
              </w:rPr>
              <w:t>instrumente koj</w:t>
            </w:r>
            <w:r w:rsidR="003330CC" w:rsidRPr="00256B1D">
              <w:rPr>
                <w:rFonts w:ascii="Open Sans" w:hAnsi="Open Sans" w:cs="Open Sans"/>
                <w:sz w:val="20"/>
              </w:rPr>
              <w:t>ima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 ćete </w:t>
            </w:r>
            <w:r w:rsidR="003330CC" w:rsidRPr="00256B1D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256B1D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256B1D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256B1D">
              <w:rPr>
                <w:rFonts w:ascii="Open Sans" w:hAnsi="Open Sans" w:cs="Open Sans"/>
                <w:sz w:val="20"/>
              </w:rPr>
              <w:t xml:space="preserve"> obradu</w:t>
            </w:r>
            <w:r w:rsidRPr="00256B1D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309FA338" w:rsidR="001244B1" w:rsidRPr="00256B1D" w:rsidRDefault="00786F06" w:rsidP="00567380">
            <w:pPr>
              <w:pStyle w:val="TableParagraph"/>
              <w:spacing w:line="264" w:lineRule="auto"/>
              <w:ind w:left="108"/>
              <w:rPr>
                <w:rFonts w:ascii="Open Sans" w:hAnsi="Open Sans" w:cs="Open Sans"/>
                <w:sz w:val="18"/>
                <w:szCs w:val="20"/>
              </w:rPr>
            </w:pPr>
            <w:r w:rsidRPr="00256B1D">
              <w:rPr>
                <w:rFonts w:ascii="Open Sans" w:hAnsi="Open Sans" w:cs="Open Sans"/>
                <w:sz w:val="18"/>
                <w:szCs w:val="20"/>
              </w:rPr>
              <w:t>Podaci za sintetizirane spojeve prikupljat će se na gore navedenim instrumentima. Svim instrumentima rukuje kvalificirano osoblje. Instrumenti imaju redovito održavanje kako bi se osigurala kvaliteta i ponovljivost mjerenja. Ako kemijska reakcija zahtijeva određenu specifičnu  aparaturu, aparatura će se fotografirati. Podaci će se obrađivati u komercijalno dostupnom softveru kako bi bili lako čitljivi. Softver koji se koristi može samo obrađivati podatke i ne dopušta manipulaciju podacima.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Pr="00256B1D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Koju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ćete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dokumentaciju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256B1D">
              <w:rPr>
                <w:rFonts w:ascii="Open Sans" w:hAnsi="Open Sans" w:cs="Open Sans"/>
                <w:sz w:val="20"/>
              </w:rPr>
              <w:t>izraditi</w:t>
            </w:r>
            <w:r w:rsidRPr="00256B1D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 w:rsidRPr="00256B1D">
              <w:rPr>
                <w:rFonts w:ascii="Open Sans" w:hAnsi="Open Sans" w:cs="Open Sans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(</w:t>
            </w:r>
            <w:r w:rsidR="006F0787" w:rsidRPr="00256B1D">
              <w:rPr>
                <w:rFonts w:ascii="Open Sans" w:hAnsi="Open Sans" w:cs="Open Sans"/>
                <w:sz w:val="20"/>
              </w:rPr>
              <w:t>dokumentacija mora sadržavati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informacije</w:t>
            </w:r>
            <w:r w:rsidR="00B225C7" w:rsidRPr="00256B1D">
              <w:rPr>
                <w:rFonts w:ascii="Open Sans" w:hAnsi="Open Sans" w:cs="Open Sans"/>
                <w:sz w:val="20"/>
              </w:rPr>
              <w:t xml:space="preserve"> i standarde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potrebne korisnicima kako bi mogli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256B1D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256B1D">
              <w:rPr>
                <w:rFonts w:ascii="Open Sans" w:hAnsi="Open Sans" w:cs="Open Sans"/>
                <w:sz w:val="20"/>
              </w:rPr>
              <w:t>čitati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interpretirati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podatke 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budućnosti</w:t>
            </w:r>
            <w:r w:rsidR="002C415E" w:rsidRPr="00256B1D">
              <w:rPr>
                <w:rFonts w:ascii="Open Sans" w:hAnsi="Open Sans" w:cs="Open Sans"/>
                <w:sz w:val="20"/>
              </w:rPr>
              <w:t>,</w:t>
            </w:r>
            <w:r w:rsidR="000A1225" w:rsidRPr="00256B1D">
              <w:rPr>
                <w:rFonts w:ascii="Open Sans" w:hAnsi="Open Sans" w:cs="Open Sans"/>
                <w:sz w:val="20"/>
              </w:rPr>
              <w:t xml:space="preserve"> </w:t>
            </w:r>
            <w:r w:rsidR="003330CC" w:rsidRPr="00256B1D">
              <w:rPr>
                <w:rFonts w:ascii="Open Sans" w:hAnsi="Open Sans" w:cs="Open Sans"/>
                <w:sz w:val="20"/>
              </w:rPr>
              <w:t>primjerice,</w:t>
            </w:r>
            <w:r w:rsidR="000A1225" w:rsidRPr="00256B1D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256B1D">
              <w:rPr>
                <w:rFonts w:ascii="Open Sans" w:hAnsi="Open Sans" w:cs="Open Sans"/>
                <w:sz w:val="20"/>
              </w:rPr>
              <w:t>e</w:t>
            </w:r>
            <w:r w:rsidR="000A1225" w:rsidRPr="00256B1D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256B1D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256B1D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256B1D">
              <w:rPr>
                <w:rFonts w:ascii="Open Sans" w:hAnsi="Open Sans" w:cs="Open Sans"/>
                <w:sz w:val="20"/>
              </w:rPr>
              <w:t xml:space="preserve"> datoteke i sl.</w:t>
            </w:r>
            <w:r w:rsidRPr="00256B1D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Pr="00256B1D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256B1D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7968C762" w:rsidR="004B374A" w:rsidRPr="00256B1D" w:rsidRDefault="00256B1D">
            <w:pPr>
              <w:pStyle w:val="TableParagraph"/>
              <w:spacing w:line="242" w:lineRule="auto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M</w:t>
            </w:r>
            <w:r w:rsidRPr="00256B1D">
              <w:rPr>
                <w:rFonts w:ascii="Open Sans" w:hAnsi="Open Sans" w:cs="Open Sans"/>
                <w:sz w:val="18"/>
              </w:rPr>
              <w:t>etapodaci</w:t>
            </w:r>
            <w:r>
              <w:rPr>
                <w:rFonts w:ascii="Open Sans" w:hAnsi="Open Sans" w:cs="Open Sans"/>
                <w:sz w:val="18"/>
              </w:rPr>
              <w:t>, kao</w:t>
            </w:r>
            <w:r w:rsidRPr="00256B1D">
              <w:rPr>
                <w:rFonts w:ascii="Open Sans" w:hAnsi="Open Sans" w:cs="Open Sans"/>
                <w:sz w:val="18"/>
              </w:rPr>
              <w:t xml:space="preserve"> niti upute o tome kako čitati podatke nisu primjenjivi na podatke koji će se generirati u ovom projektu.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256B1D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256B1D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Pravna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sigurnosna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256B1D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256B1D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Jeste li ograničeni sporazumom 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povjerljivosti?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Imate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li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potrebna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dopuštenja za prikupljanje, obradu,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čuvanje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dijeljenje</w:t>
            </w:r>
            <w:r w:rsidRPr="00256B1D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podataka?</w:t>
            </w:r>
            <w:r w:rsidRPr="00256B1D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Jesu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li</w:t>
            </w:r>
            <w:r w:rsidRPr="00256B1D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osobe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čiji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podaci</w:t>
            </w:r>
            <w:r w:rsidRPr="00256B1D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256B1D">
              <w:rPr>
                <w:rFonts w:ascii="Open Sans" w:hAnsi="Open Sans" w:cs="Open Sans"/>
                <w:sz w:val="20"/>
              </w:rPr>
              <w:t>obrađuju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informirani o tome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jesu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li dali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privolu?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Kojim</w:t>
            </w:r>
            <w:r w:rsidRPr="00256B1D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ćete se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metodama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(GDPR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-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256B1D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kategorije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osobnih podataka</w:t>
            </w:r>
            <w:r w:rsidR="007A0FF1" w:rsidRPr="00256B1D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256B1D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256B1D">
              <w:rPr>
                <w:rFonts w:ascii="Open Sans" w:hAnsi="Open Sans" w:cs="Open Sans"/>
                <w:sz w:val="20"/>
              </w:rPr>
              <w:t>metode anonimizacije podataka</w:t>
            </w:r>
            <w:r w:rsidRPr="00256B1D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5EB3D5F3" w:rsidR="004B374A" w:rsidRPr="00256B1D" w:rsidRDefault="00256B1D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18"/>
              </w:rPr>
            </w:pPr>
            <w:r w:rsidRPr="00256B1D">
              <w:rPr>
                <w:rFonts w:ascii="Open Sans" w:hAnsi="Open Sans" w:cs="Open Sans"/>
                <w:sz w:val="18"/>
              </w:rPr>
              <w:t>Ovaj projekt se ne bavi ov</w:t>
            </w:r>
            <w:r>
              <w:rPr>
                <w:rFonts w:ascii="Open Sans" w:hAnsi="Open Sans" w:cs="Open Sans"/>
                <w:sz w:val="18"/>
              </w:rPr>
              <w:t>akv</w:t>
            </w:r>
            <w:r w:rsidRPr="00256B1D">
              <w:rPr>
                <w:rFonts w:ascii="Open Sans" w:hAnsi="Open Sans" w:cs="Open Sans"/>
                <w:sz w:val="18"/>
              </w:rPr>
              <w:t>om vrstom podataka.</w:t>
            </w:r>
          </w:p>
        </w:tc>
      </w:tr>
      <w:tr w:rsidR="00112EF4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112EF4" w:rsidRPr="00256B1D" w:rsidRDefault="00112EF4" w:rsidP="00112EF4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112EF4" w:rsidRPr="00256B1D" w:rsidRDefault="00112EF4" w:rsidP="00112EF4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Kako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regulirati</w:t>
            </w:r>
            <w:r w:rsidRPr="00256B1D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pristup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podacima i njihova sigurnost? Koji su </w:t>
            </w:r>
            <w:r w:rsidRPr="00256B1D">
              <w:rPr>
                <w:rFonts w:ascii="Open Sans" w:hAnsi="Open Sans" w:cs="Open Sans"/>
                <w:spacing w:val="-52"/>
                <w:sz w:val="20"/>
              </w:rPr>
              <w:t xml:space="preserve">   </w:t>
            </w:r>
            <w:r w:rsidRPr="00256B1D">
              <w:rPr>
                <w:rFonts w:ascii="Open Sans" w:hAnsi="Open Sans" w:cs="Open Sans"/>
                <w:sz w:val="20"/>
              </w:rPr>
              <w:t>potencijalni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rizici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koje treba uzeti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u obzir?</w:t>
            </w:r>
            <w:r w:rsidRPr="00256B1D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Kako</w:t>
            </w:r>
            <w:r w:rsidRPr="00256B1D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ćete</w:t>
            </w:r>
            <w:r w:rsidRPr="00256B1D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osigurati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sigurnost pohrane </w:t>
            </w:r>
            <w:r w:rsidRPr="00256B1D">
              <w:rPr>
                <w:rFonts w:ascii="Open Sans" w:hAnsi="Open Sans" w:cs="Open Sans"/>
                <w:sz w:val="20"/>
              </w:rPr>
              <w:t>osjetljivih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496F4C86" w:rsidR="00112EF4" w:rsidRPr="00112EF4" w:rsidRDefault="00112EF4" w:rsidP="00112EF4">
            <w:pPr>
              <w:pStyle w:val="TableParagraph"/>
              <w:spacing w:before="2"/>
              <w:rPr>
                <w:rFonts w:ascii="Open Sans" w:hAnsi="Open Sans" w:cs="Open Sans"/>
                <w:sz w:val="18"/>
              </w:rPr>
            </w:pPr>
            <w:r w:rsidRPr="00112EF4">
              <w:rPr>
                <w:rFonts w:ascii="Open Sans" w:hAnsi="Open Sans" w:cs="Open Sans"/>
                <w:sz w:val="18"/>
              </w:rPr>
              <w:t xml:space="preserve">Pristup podacima bit će omogućen svim članovima istraživačkog tima tijekom izvođenja projekta. Oni će biti pohranjeni u internom, lozinkom zaštićenom oblaku/poslužitelju/tvrdom disku. Članovi tima bit će obavezni </w:t>
            </w:r>
            <w:r>
              <w:rPr>
                <w:rFonts w:ascii="Open Sans" w:hAnsi="Open Sans" w:cs="Open Sans"/>
                <w:sz w:val="18"/>
              </w:rPr>
              <w:t xml:space="preserve">da </w:t>
            </w:r>
            <w:r w:rsidRPr="00112EF4">
              <w:rPr>
                <w:rFonts w:ascii="Open Sans" w:hAnsi="Open Sans" w:cs="Open Sans"/>
                <w:sz w:val="18"/>
              </w:rPr>
              <w:t xml:space="preserve">ne </w:t>
            </w:r>
            <w:r>
              <w:rPr>
                <w:rFonts w:ascii="Open Sans" w:hAnsi="Open Sans" w:cs="Open Sans"/>
                <w:sz w:val="18"/>
              </w:rPr>
              <w:t>dijele</w:t>
            </w:r>
            <w:r w:rsidRPr="00112EF4">
              <w:rPr>
                <w:rFonts w:ascii="Open Sans" w:hAnsi="Open Sans" w:cs="Open Sans"/>
                <w:sz w:val="18"/>
              </w:rPr>
              <w:t xml:space="preserve"> lozinku s osobljem koje nije dio projekta.</w:t>
            </w:r>
          </w:p>
        </w:tc>
      </w:tr>
      <w:tr w:rsidR="00112EF4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112EF4" w:rsidRPr="00256B1D" w:rsidRDefault="00112EF4" w:rsidP="00112EF4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112EF4" w:rsidRPr="00256B1D" w:rsidRDefault="00112EF4" w:rsidP="00112EF4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Kako ćete upravljati zaštitom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autorskih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prava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256B1D">
              <w:rPr>
                <w:rFonts w:ascii="Open Sans" w:hAnsi="Open Sans" w:cs="Open Sans"/>
                <w:sz w:val="20"/>
              </w:rPr>
              <w:t xml:space="preserve">intelektualnog </w:t>
            </w:r>
            <w:r w:rsidRPr="00256B1D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vlasništva? Tko će biti vlasnik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podataka?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Koje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se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licencije primjenjivati na podatke? Koja će se </w:t>
            </w:r>
            <w:r w:rsidRPr="00256B1D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ograničenja</w:t>
            </w:r>
            <w:r w:rsidRPr="00256B1D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primjenjivati</w:t>
            </w:r>
            <w:r w:rsidRPr="00256B1D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na</w:t>
            </w:r>
            <w:r w:rsidRPr="00256B1D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112EF4" w:rsidRPr="00256B1D" w:rsidRDefault="00112EF4" w:rsidP="00112EF4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uporabu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0AB0C8B5" w:rsidR="00112EF4" w:rsidRPr="00256B1D" w:rsidRDefault="00112EF4" w:rsidP="00112EF4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18"/>
              </w:rPr>
            </w:pPr>
            <w:r w:rsidRPr="00112EF4">
              <w:rPr>
                <w:rFonts w:ascii="Open Sans" w:hAnsi="Open Sans" w:cs="Open Sans"/>
                <w:sz w:val="18"/>
              </w:rPr>
              <w:t>Projektom nije predviđeno korištenje podataka trećih strana. Svi prikupljeni podaci su pod pravom intelektualnog vlasništva i u vlasništvu matične institucije članova projektnog tima. Dobiveni podaci ne spadaju u kategoriju licenciranja.</w:t>
            </w:r>
            <w:r>
              <w:rPr>
                <w:rFonts w:ascii="Open Sans" w:hAnsi="Open Sans" w:cs="Open Sans"/>
                <w:sz w:val="18"/>
              </w:rPr>
              <w:t xml:space="preserve"> </w:t>
            </w:r>
          </w:p>
        </w:tc>
      </w:tr>
      <w:tr w:rsidR="00112EF4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112EF4" w:rsidRPr="00256B1D" w:rsidRDefault="00112EF4" w:rsidP="00112EF4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112EF4" w:rsidRPr="00256B1D" w:rsidRDefault="00112EF4" w:rsidP="00112EF4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Pohrana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čuvanje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112EF4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112EF4" w:rsidRPr="00256B1D" w:rsidRDefault="00112EF4" w:rsidP="00112EF4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112EF4" w:rsidRPr="00256B1D" w:rsidRDefault="00112EF4" w:rsidP="00112EF4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6B1D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112EF4" w:rsidRPr="00256B1D" w:rsidRDefault="00112EF4" w:rsidP="00112EF4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256B1D">
              <w:rPr>
                <w:rFonts w:ascii="Open Sans" w:hAnsi="Open Sans" w:cs="Open Sans"/>
                <w:sz w:val="20"/>
                <w:szCs w:val="20"/>
              </w:rPr>
              <w:t xml:space="preserve">Kako </w:t>
            </w:r>
            <w:r w:rsidRPr="00256B1D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 xml:space="preserve">će se napraviti sigurnosne kopije tih </w:t>
            </w:r>
            <w:r w:rsidRPr="00256B1D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256B1D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256B1D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112EF4" w:rsidRPr="00256B1D" w:rsidRDefault="00112EF4" w:rsidP="00112EF4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56B1D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4CD6A807" w14:textId="35554D34" w:rsidR="00112EF4" w:rsidRPr="00256B1D" w:rsidRDefault="00112EF4" w:rsidP="00112EF4">
            <w:pPr>
              <w:pStyle w:val="TableParagraph"/>
              <w:spacing w:before="2" w:line="244" w:lineRule="auto"/>
              <w:rPr>
                <w:rFonts w:ascii="Open Sans" w:hAnsi="Open Sans" w:cs="Open Sans"/>
                <w:sz w:val="18"/>
              </w:rPr>
            </w:pPr>
            <w:r w:rsidRPr="00112EF4">
              <w:rPr>
                <w:rFonts w:ascii="Open Sans" w:hAnsi="Open Sans" w:cs="Open Sans"/>
                <w:sz w:val="18"/>
              </w:rPr>
              <w:t xml:space="preserve">Podaci će biti pohranjeni na oblaku/poslužitelju/tvrdom disku zaštićenom lozinkom, </w:t>
            </w:r>
            <w:r>
              <w:rPr>
                <w:rFonts w:ascii="Open Sans" w:hAnsi="Open Sans" w:cs="Open Sans"/>
                <w:sz w:val="18"/>
              </w:rPr>
              <w:t>i</w:t>
            </w:r>
            <w:r w:rsidRPr="00112EF4">
              <w:rPr>
                <w:rFonts w:ascii="Open Sans" w:hAnsi="Open Sans" w:cs="Open Sans"/>
                <w:sz w:val="18"/>
              </w:rPr>
              <w:t xml:space="preserve"> nikada na samo jednom mediju. Podaci će se sigurnosno kopirati mjesečno na izvanmrežne medije (vanjski tvrdi diskovi, USB memorije, ispisani podaci</w:t>
            </w:r>
            <w:r>
              <w:rPr>
                <w:rFonts w:ascii="Open Sans" w:hAnsi="Open Sans" w:cs="Open Sans"/>
                <w:sz w:val="18"/>
              </w:rPr>
              <w:t>,</w:t>
            </w:r>
            <w:r w:rsidRPr="00112EF4">
              <w:rPr>
                <w:rFonts w:ascii="Open Sans" w:hAnsi="Open Sans" w:cs="Open Sans"/>
                <w:sz w:val="18"/>
              </w:rPr>
              <w:t xml:space="preserve"> itd.) kako bi se osigurala njihova sigurnost. Očekujemo do</w:t>
            </w:r>
            <w:r>
              <w:rPr>
                <w:rFonts w:ascii="Open Sans" w:hAnsi="Open Sans" w:cs="Open Sans"/>
                <w:sz w:val="18"/>
              </w:rPr>
              <w:t xml:space="preserve"> ukupno</w:t>
            </w:r>
            <w:r w:rsidRPr="00112EF4">
              <w:rPr>
                <w:rFonts w:ascii="Open Sans" w:hAnsi="Open Sans" w:cs="Open Sans"/>
                <w:sz w:val="18"/>
              </w:rPr>
              <w:t xml:space="preserve"> 2 GB neobrađenih podataka.</w:t>
            </w:r>
          </w:p>
        </w:tc>
      </w:tr>
      <w:tr w:rsidR="00567380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567380" w:rsidRPr="00256B1D" w:rsidRDefault="00567380" w:rsidP="00567380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567380" w:rsidRPr="00256B1D" w:rsidRDefault="00567380" w:rsidP="00567380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256B1D">
              <w:rPr>
                <w:rFonts w:ascii="Open Sans" w:hAnsi="Open Sans" w:cs="Open Sans"/>
                <w:sz w:val="20"/>
                <w:szCs w:val="20"/>
              </w:rPr>
              <w:t xml:space="preserve">Kako će se završne verzije podataka dugotrajno pohraniti i čuvati (i nakon završetka projekta)? </w:t>
            </w:r>
          </w:p>
          <w:p w14:paraId="62881790" w14:textId="3A1C0FAB" w:rsidR="00567380" w:rsidRPr="00256B1D" w:rsidRDefault="00567380" w:rsidP="00567380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256B1D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256B1D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256B1D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256B1D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256B1D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694BC2C4" w14:textId="10573B1B" w:rsidR="00567380" w:rsidRPr="00567380" w:rsidRDefault="00567380" w:rsidP="00567380">
            <w:pPr>
              <w:pStyle w:val="TableParagraph"/>
              <w:spacing w:line="264" w:lineRule="auto"/>
              <w:ind w:left="108"/>
              <w:rPr>
                <w:rFonts w:ascii="Open Sans" w:hAnsi="Open Sans" w:cs="Open Sans"/>
                <w:sz w:val="18"/>
              </w:rPr>
            </w:pPr>
            <w:r w:rsidRPr="00567380">
              <w:rPr>
                <w:rFonts w:ascii="Open Sans" w:hAnsi="Open Sans" w:cs="Open Sans"/>
                <w:sz w:val="18"/>
              </w:rPr>
              <w:t xml:space="preserve">Neobrađeni podaci bit će u formatima datoteka </w:t>
            </w:r>
            <w:r>
              <w:rPr>
                <w:rFonts w:ascii="Open Sans" w:hAnsi="Open Sans" w:cs="Open Sans"/>
                <w:sz w:val="18"/>
              </w:rPr>
              <w:t>kakve</w:t>
            </w:r>
            <w:r w:rsidRPr="00567380">
              <w:rPr>
                <w:rFonts w:ascii="Open Sans" w:hAnsi="Open Sans" w:cs="Open Sans"/>
                <w:sz w:val="18"/>
              </w:rPr>
              <w:t xml:space="preserve"> generiraju</w:t>
            </w:r>
            <w:r>
              <w:rPr>
                <w:rFonts w:ascii="Open Sans" w:hAnsi="Open Sans" w:cs="Open Sans"/>
                <w:sz w:val="18"/>
              </w:rPr>
              <w:t xml:space="preserve"> pojedini</w:t>
            </w:r>
            <w:r w:rsidRPr="00567380">
              <w:rPr>
                <w:rFonts w:ascii="Open Sans" w:hAnsi="Open Sans" w:cs="Open Sans"/>
                <w:sz w:val="18"/>
              </w:rPr>
              <w:t xml:space="preserve"> instrumenti. Datotečne ekstenzije su jedinstvene za odabranu analitičku tehniku, bez obzira na vrstu instrumenta koji se koristi (NMR spektri .fid, X-ray .cif, FTIR .csv, HPLC.run, MS .ms itd.). Instrumenti koji ne generiraju datoteke, već samo broj na ekranu (npr. polarimetar, aparat za </w:t>
            </w:r>
            <w:r>
              <w:rPr>
                <w:rFonts w:ascii="Open Sans" w:hAnsi="Open Sans" w:cs="Open Sans"/>
                <w:sz w:val="18"/>
              </w:rPr>
              <w:t>mjerenje točke</w:t>
            </w:r>
            <w:r w:rsidRPr="00567380">
              <w:rPr>
                <w:rFonts w:ascii="Open Sans" w:hAnsi="Open Sans" w:cs="Open Sans"/>
                <w:sz w:val="18"/>
              </w:rPr>
              <w:t xml:space="preserve"> taljenja) bit će zapisani i spremljeni kao .docx ili .pdf datoteka. Sve ove datoteke mogu se otvoriti standardnim i komercijalno dostupnim softverom, koji je često besplatan. Neobrađeni podaci bit će pretvoreni u čitljive i/ili vizualne prikaze podataka (npr. spektre) koji sadrže sve potrebne informacije.</w:t>
            </w:r>
          </w:p>
          <w:p w14:paraId="1A7BD8A9" w14:textId="77777777" w:rsidR="00567380" w:rsidRPr="00567380" w:rsidRDefault="00567380" w:rsidP="00567380">
            <w:pPr>
              <w:pStyle w:val="TableParagraph"/>
              <w:spacing w:line="264" w:lineRule="auto"/>
              <w:rPr>
                <w:rFonts w:ascii="Open Sans" w:hAnsi="Open Sans" w:cs="Open Sans"/>
                <w:sz w:val="18"/>
              </w:rPr>
            </w:pPr>
          </w:p>
          <w:p w14:paraId="15108890" w14:textId="000709FF" w:rsidR="00567380" w:rsidRPr="00256B1D" w:rsidRDefault="00567380" w:rsidP="00567380">
            <w:pPr>
              <w:pStyle w:val="TableParagraph"/>
              <w:spacing w:line="264" w:lineRule="auto"/>
              <w:rPr>
                <w:rFonts w:ascii="Open Sans" w:hAnsi="Open Sans" w:cs="Open Sans"/>
                <w:sz w:val="18"/>
              </w:rPr>
            </w:pPr>
            <w:r w:rsidRPr="00567380">
              <w:rPr>
                <w:rFonts w:ascii="Open Sans" w:hAnsi="Open Sans" w:cs="Open Sans"/>
                <w:sz w:val="18"/>
              </w:rPr>
              <w:t xml:space="preserve">Nakon završetka projekta neće biti prikupljanja podataka. Neobrađeni podaci će se čuvati na </w:t>
            </w:r>
            <w:r>
              <w:rPr>
                <w:rFonts w:ascii="Open Sans" w:hAnsi="Open Sans" w:cs="Open Sans"/>
                <w:sz w:val="18"/>
              </w:rPr>
              <w:t>eksternim diskovima</w:t>
            </w:r>
            <w:r w:rsidRPr="00567380">
              <w:rPr>
                <w:rFonts w:ascii="Open Sans" w:hAnsi="Open Sans" w:cs="Open Sans"/>
                <w:sz w:val="18"/>
              </w:rPr>
              <w:t xml:space="preserve"> i poslužiteljima u oblaku najmanje pet godina nakon završetka projekta. Nakon tih pet godina podaci će</w:t>
            </w:r>
            <w:r>
              <w:rPr>
                <w:rFonts w:ascii="Open Sans" w:hAnsi="Open Sans" w:cs="Open Sans"/>
                <w:sz w:val="18"/>
              </w:rPr>
              <w:t xml:space="preserve"> trajno</w:t>
            </w:r>
            <w:r w:rsidRPr="00567380">
              <w:rPr>
                <w:rFonts w:ascii="Open Sans" w:hAnsi="Open Sans" w:cs="Open Sans"/>
                <w:sz w:val="18"/>
              </w:rPr>
              <w:t xml:space="preserve"> ostati na </w:t>
            </w:r>
            <w:r>
              <w:rPr>
                <w:rFonts w:ascii="Open Sans" w:hAnsi="Open Sans" w:cs="Open Sans"/>
                <w:sz w:val="18"/>
              </w:rPr>
              <w:t>eksternim medijima</w:t>
            </w:r>
            <w:r w:rsidRPr="00567380">
              <w:rPr>
                <w:rFonts w:ascii="Open Sans" w:hAnsi="Open Sans" w:cs="Open Sans"/>
                <w:sz w:val="18"/>
              </w:rPr>
              <w:t>.</w:t>
            </w:r>
          </w:p>
        </w:tc>
      </w:tr>
      <w:tr w:rsidR="00567380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567380" w:rsidRPr="00256B1D" w:rsidRDefault="00567380" w:rsidP="00567380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567380" w:rsidRPr="00256B1D" w:rsidRDefault="00567380" w:rsidP="00567380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Dijeljenje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i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ponovna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uporaba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567380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567380" w:rsidRPr="00256B1D" w:rsidRDefault="00567380" w:rsidP="00567380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567380" w:rsidRPr="00256B1D" w:rsidRDefault="00567380" w:rsidP="00567380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Kako i gdje će se podaci dijeliti? Koji repozitorij će se koristit za dijeljenje podataka?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Kako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potencijalni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korisnici doznati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za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775536D0" w:rsidR="00567380" w:rsidRPr="00256B1D" w:rsidRDefault="00C763EC" w:rsidP="00C763EC">
            <w:pPr>
              <w:pStyle w:val="TableParagraph"/>
              <w:spacing w:line="22" w:lineRule="atLeast"/>
              <w:ind w:left="108"/>
              <w:rPr>
                <w:rFonts w:ascii="Open Sans" w:hAnsi="Open Sans" w:cs="Open Sans"/>
                <w:sz w:val="18"/>
              </w:rPr>
            </w:pPr>
            <w:r w:rsidRPr="00C763EC">
              <w:rPr>
                <w:rFonts w:ascii="Open Sans" w:hAnsi="Open Sans" w:cs="Open Sans"/>
                <w:sz w:val="18"/>
              </w:rPr>
              <w:t>Vrhunski časopisi u kojima planiramo objaviti rezultate</w:t>
            </w:r>
            <w:r>
              <w:rPr>
                <w:rFonts w:ascii="Open Sans" w:hAnsi="Open Sans" w:cs="Open Sans"/>
                <w:sz w:val="18"/>
              </w:rPr>
              <w:t xml:space="preserve"> projekta</w:t>
            </w:r>
            <w:r w:rsidRPr="00C763EC">
              <w:rPr>
                <w:rFonts w:ascii="Open Sans" w:hAnsi="Open Sans" w:cs="Open Sans"/>
                <w:sz w:val="18"/>
              </w:rPr>
              <w:t xml:space="preserve"> (izdavač</w:t>
            </w:r>
            <w:r>
              <w:rPr>
                <w:rFonts w:ascii="Open Sans" w:hAnsi="Open Sans" w:cs="Open Sans"/>
                <w:sz w:val="18"/>
              </w:rPr>
              <w:t>i</w:t>
            </w:r>
            <w:r w:rsidRPr="00C763EC">
              <w:rPr>
                <w:rFonts w:ascii="Open Sans" w:hAnsi="Open Sans" w:cs="Open Sans"/>
                <w:sz w:val="18"/>
              </w:rPr>
              <w:t xml:space="preserve"> American Chemical Society, Royal Society of Chemistry i Wiley) zahtijevaju da se neobrađeni podaci učitaju kao popratne informacije</w:t>
            </w:r>
            <w:r>
              <w:rPr>
                <w:rFonts w:ascii="Open Sans" w:hAnsi="Open Sans" w:cs="Open Sans"/>
                <w:sz w:val="18"/>
              </w:rPr>
              <w:t xml:space="preserve"> (</w:t>
            </w:r>
            <w:r>
              <w:rPr>
                <w:rFonts w:ascii="Open Sans" w:hAnsi="Open Sans" w:cs="Open Sans"/>
                <w:i/>
                <w:sz w:val="18"/>
              </w:rPr>
              <w:t>Supporting information</w:t>
            </w:r>
            <w:r>
              <w:rPr>
                <w:rFonts w:ascii="Open Sans" w:hAnsi="Open Sans" w:cs="Open Sans"/>
                <w:sz w:val="18"/>
              </w:rPr>
              <w:t>)</w:t>
            </w:r>
            <w:r w:rsidRPr="00C763EC">
              <w:rPr>
                <w:rFonts w:ascii="Open Sans" w:hAnsi="Open Sans" w:cs="Open Sans"/>
                <w:sz w:val="18"/>
              </w:rPr>
              <w:t xml:space="preserve"> uz znanstveni rad. Stoga će svi neobrađeni i obrađeni podaci biti dostupni kao dio znanstvenih publikacija, a svi ovi izdavači podatke o pratećim informacijama stavljaju na raspolaganje besplatno bez obzira na pretplatu na časopis. Neobrađeni podaci također će se dijeliti na otvorenom pristupnom repozitoriju FULIR Instituta Ruđer Bošković.</w:t>
            </w:r>
          </w:p>
        </w:tc>
      </w:tr>
      <w:tr w:rsidR="00567380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567380" w:rsidRPr="00256B1D" w:rsidRDefault="00567380" w:rsidP="00567380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567380" w:rsidRPr="00256B1D" w:rsidRDefault="00567380" w:rsidP="00567380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Ako postoje podaci koji se ne smiju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dijeliti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(prijavitelji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vezani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zakonskim,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256B1D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116C71CE" w14:textId="77777777" w:rsidR="00C763EC" w:rsidRPr="00C763EC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</w:p>
          <w:p w14:paraId="4321485C" w14:textId="08569E57" w:rsidR="00567380" w:rsidRPr="00256B1D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  <w:r w:rsidRPr="00C763EC">
              <w:rPr>
                <w:rFonts w:ascii="Open Sans" w:hAnsi="Open Sans" w:cs="Open Sans"/>
                <w:sz w:val="18"/>
              </w:rPr>
              <w:t>Postojat će ograničenja u dijeljenju podataka ako će rezultati projekta biti predmet prijave patenta.</w:t>
            </w:r>
          </w:p>
        </w:tc>
      </w:tr>
      <w:tr w:rsidR="00567380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567380" w:rsidRPr="00256B1D" w:rsidRDefault="00567380" w:rsidP="00567380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567380" w:rsidRPr="00256B1D" w:rsidRDefault="00567380" w:rsidP="00567380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Potvrdite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da</w:t>
            </w:r>
            <w:r w:rsidRPr="00256B1D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ćete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se</w:t>
            </w:r>
            <w:r w:rsidRPr="00256B1D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koristiti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 xml:space="preserve">digitalnim repozitorijem koji je u skladu s </w:t>
            </w:r>
            <w:r w:rsidRPr="00256B1D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načelima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i/>
                <w:sz w:val="20"/>
              </w:rPr>
              <w:t>FAIR-a</w:t>
            </w:r>
            <w:r w:rsidRPr="00256B1D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7D090E0D" w14:textId="77777777" w:rsidR="00C763EC" w:rsidRPr="00C763EC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</w:p>
          <w:p w14:paraId="5F6D082D" w14:textId="77777777" w:rsidR="00C763EC" w:rsidRPr="00C763EC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  <w:r w:rsidRPr="00C763EC">
              <w:rPr>
                <w:rFonts w:ascii="Open Sans" w:hAnsi="Open Sans" w:cs="Open Sans"/>
                <w:sz w:val="18"/>
              </w:rPr>
              <w:t>Repozitorij podataka FULIR Instituta Ruđer Bošković usklađen je s načelima FAIR-a.</w:t>
            </w:r>
          </w:p>
          <w:p w14:paraId="74DF7F23" w14:textId="77777777" w:rsidR="00C763EC" w:rsidRPr="00C763EC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</w:p>
          <w:p w14:paraId="1CBD45D9" w14:textId="7413D9B2" w:rsidR="00567380" w:rsidRPr="00256B1D" w:rsidRDefault="00567380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</w:p>
        </w:tc>
      </w:tr>
      <w:tr w:rsidR="00567380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567380" w:rsidRPr="00256B1D" w:rsidRDefault="00567380" w:rsidP="00567380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567380" w:rsidRPr="00256B1D" w:rsidRDefault="00567380" w:rsidP="00567380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 xml:space="preserve">Potvrdite da ćete se koristiti digitalnim </w:t>
            </w:r>
            <w:r w:rsidRPr="00256B1D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ne</w:t>
            </w:r>
            <w:r w:rsidRPr="00256B1D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možete</w:t>
            </w:r>
            <w:r w:rsidRPr="00256B1D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dijeliti podatke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na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digitalnom</w:t>
            </w:r>
            <w:r w:rsidRPr="00256B1D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repozitoriju</w:t>
            </w:r>
            <w:r w:rsidRPr="00256B1D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56B1D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567380" w:rsidRPr="00256B1D" w:rsidRDefault="00567380" w:rsidP="00567380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256B1D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4B9DEAA4" w14:textId="77777777" w:rsidR="00C763EC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</w:p>
          <w:p w14:paraId="7D230BE6" w14:textId="0D7138D5" w:rsidR="00567380" w:rsidRPr="00256B1D" w:rsidRDefault="00C763EC" w:rsidP="00C763EC">
            <w:pPr>
              <w:pStyle w:val="TableParagraph"/>
              <w:spacing w:before="2" w:line="22" w:lineRule="atLeast"/>
              <w:ind w:left="108"/>
              <w:rPr>
                <w:rFonts w:ascii="Open Sans" w:hAnsi="Open Sans" w:cs="Open Sans"/>
                <w:sz w:val="18"/>
              </w:rPr>
            </w:pPr>
            <w:r w:rsidRPr="00C763EC">
              <w:rPr>
                <w:rFonts w:ascii="Open Sans" w:hAnsi="Open Sans" w:cs="Open Sans"/>
                <w:sz w:val="18"/>
              </w:rPr>
              <w:t>Repozitorij FULIR održava Institut Ruđer Bošković, koji je neprofitna organizacija.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AB2F" w14:textId="77777777" w:rsidR="00E25BF7" w:rsidRDefault="00E25BF7" w:rsidP="008120C5">
      <w:r>
        <w:separator/>
      </w:r>
    </w:p>
  </w:endnote>
  <w:endnote w:type="continuationSeparator" w:id="0">
    <w:p w14:paraId="1FCBC3B6" w14:textId="77777777" w:rsidR="00E25BF7" w:rsidRDefault="00E25BF7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0788" w14:textId="77777777" w:rsidR="00E25BF7" w:rsidRDefault="00E25BF7" w:rsidP="008120C5">
      <w:r>
        <w:separator/>
      </w:r>
    </w:p>
  </w:footnote>
  <w:footnote w:type="continuationSeparator" w:id="0">
    <w:p w14:paraId="5F3036D2" w14:textId="77777777" w:rsidR="00E25BF7" w:rsidRDefault="00E25BF7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6BD52D25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B15158">
      <w:rPr>
        <w:rFonts w:ascii="Open Sans" w:hAnsi="Open Sans" w:cs="Open Sans"/>
        <w:sz w:val="20"/>
        <w:szCs w:val="20"/>
      </w:rPr>
      <w:t>OCADA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12EF4"/>
    <w:rsid w:val="001244B1"/>
    <w:rsid w:val="001C4C38"/>
    <w:rsid w:val="001C4D5D"/>
    <w:rsid w:val="00215EB3"/>
    <w:rsid w:val="00256B1D"/>
    <w:rsid w:val="002611D7"/>
    <w:rsid w:val="00262C66"/>
    <w:rsid w:val="002700B9"/>
    <w:rsid w:val="00275D4E"/>
    <w:rsid w:val="002C415E"/>
    <w:rsid w:val="003330CC"/>
    <w:rsid w:val="0034257E"/>
    <w:rsid w:val="003D05F3"/>
    <w:rsid w:val="003D0DA9"/>
    <w:rsid w:val="004B1924"/>
    <w:rsid w:val="004B374A"/>
    <w:rsid w:val="004E706F"/>
    <w:rsid w:val="00567380"/>
    <w:rsid w:val="006B4D7D"/>
    <w:rsid w:val="006F0787"/>
    <w:rsid w:val="007311B1"/>
    <w:rsid w:val="00786F06"/>
    <w:rsid w:val="007A0FF1"/>
    <w:rsid w:val="007B6AE5"/>
    <w:rsid w:val="007E576A"/>
    <w:rsid w:val="008120C5"/>
    <w:rsid w:val="00917D7A"/>
    <w:rsid w:val="00973600"/>
    <w:rsid w:val="009B19C6"/>
    <w:rsid w:val="009F4C62"/>
    <w:rsid w:val="00A143F7"/>
    <w:rsid w:val="00A65B47"/>
    <w:rsid w:val="00AE6EFD"/>
    <w:rsid w:val="00B15158"/>
    <w:rsid w:val="00B225C7"/>
    <w:rsid w:val="00B33046"/>
    <w:rsid w:val="00B607A2"/>
    <w:rsid w:val="00BA6320"/>
    <w:rsid w:val="00C763EC"/>
    <w:rsid w:val="00C83D1E"/>
    <w:rsid w:val="00CE2CF9"/>
    <w:rsid w:val="00DD28AE"/>
    <w:rsid w:val="00DD61C4"/>
    <w:rsid w:val="00E1431B"/>
    <w:rsid w:val="00E25BF7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Matija</cp:lastModifiedBy>
  <cp:revision>22</cp:revision>
  <cp:lastPrinted>2022-05-23T08:12:00Z</cp:lastPrinted>
  <dcterms:created xsi:type="dcterms:W3CDTF">2022-05-10T16:42:00Z</dcterms:created>
  <dcterms:modified xsi:type="dcterms:W3CDTF">2022-10-03T09:03:00Z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